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Волгоградская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Камышинский муниципальный район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Усть - Грязнухинский сельский Совет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  01.03.2023 г.  № 6</w:t>
      </w:r>
    </w:p>
    <w:p>
      <w:pPr>
        <w:pStyle w:val="ConsPlusTitle"/>
        <w:widowControl/>
        <w:jc w:val="center"/>
        <w:rPr/>
      </w:pPr>
      <w:r>
        <w:rPr/>
      </w:r>
    </w:p>
    <w:tbl>
      <w:tblPr>
        <w:tblW w:w="1013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bookmarkStart w:id="0" w:name="__DdeLink__1771_4167601527"/>
            <w:r>
              <w:rPr>
                <w:rFonts w:ascii="Times New Roman" w:hAnsi="Times New Roman"/>
                <w:sz w:val="24"/>
                <w:szCs w:val="24"/>
              </w:rPr>
              <w:t>Об итогах рассмотрения ежегодного отчета главы Усть - Грязнухинского сельского поселения  о результатах своей деятельности и деятельности администрации Усть - Грязнухинского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7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ind w:firstLine="540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540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решением Усть - Грязнухинского сельского Совета 19.01.2018 № 1 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Порядка представления и рассмотрения ежегодного отчета главы Усть - Грязнухинского сельского поселения Усть - Грязнухинскому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результатах своей деятельности и деятельности администрации Усть - Грязнухинского сельского поселения</w:t>
      </w:r>
      <w:r>
        <w:rPr>
          <w:rFonts w:ascii="Times New Roman" w:hAnsi="Times New Roman"/>
          <w:sz w:val="24"/>
          <w:szCs w:val="24"/>
        </w:rPr>
        <w:t>», руководствуясь Уставом Усть - Грязнухинского сельского поселения, Усть - Грязнухинского сельский Совет, решил:</w:t>
      </w:r>
    </w:p>
    <w:p>
      <w:pPr>
        <w:pStyle w:val="Normal"/>
        <w:spacing w:lineRule="atLeast" w:line="100" w:before="0" w:after="0"/>
        <w:ind w:firstLine="540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1. Признать результаты деятельности главы Усть - Грязнухинского сельского поселения и деятельности администрации Усть - Грязнухинского сельского поселения  удовлетворительными.</w:t>
      </w:r>
    </w:p>
    <w:p>
      <w:pPr>
        <w:pStyle w:val="Normal"/>
        <w:spacing w:lineRule="atLeast" w:line="10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Усть - Грязнухинского сельского поселения подлежит официальному обнародованию и размещению в сети Интернет на официальном сайте администрации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http://adm-ustgryaznuha.ru</w:t>
        </w:r>
      </w:hyperlink>
      <w:r>
        <w:rPr>
          <w:rFonts w:ascii="Times New Roman" w:hAnsi="Times New Roman"/>
          <w:sz w:val="24"/>
          <w:szCs w:val="24"/>
        </w:rPr>
        <w:t xml:space="preserve"> в 10 – дневный срок с момента его принятия.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Глава У Усть - Грязнухинского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Д.И.Виндер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418" w:right="567" w:header="0" w:top="567" w:footer="0" w:bottom="567" w:gutter="0"/>
          <w:pgNumType w:fmt="decimal"/>
          <w:formProt w:val="false"/>
          <w:textDirection w:val="lrTb"/>
          <w:docGrid w:type="default" w:linePitch="360" w:charSpace="1638"/>
        </w:sect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Усть-Грязнухинского сельского поселения за 2022 год</w:t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дорогие жители, уважаемые коллеги и гости!</w:t>
      </w:r>
    </w:p>
    <w:p>
      <w:pPr>
        <w:pStyle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работе, и сегодня Вашему вниманию представляется отчет о работе Администрации Усть-Грязнухинского сельского поселения за 2022 год.</w:t>
      </w:r>
    </w:p>
    <w:p>
      <w:pPr>
        <w:pStyle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Усть-Грязнухинского сельского Совета  результаты деятельности главы Усть-Грязнухинского сельского поселения  и деятельности администрации сельского поселения признаны удовлетворительными.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Хочу отметить, исполнение поставленных задач в 2022 году происходило в условиях напряженности в связи с конфликтом на украине, год был не из легких. </w:t>
      </w:r>
    </w:p>
    <w:p>
      <w:pPr>
        <w:pStyle w:val="1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Выполнением всех поставленных задач занимается коллектив работников Администрации – это 5 муниципальных служащих (в т.ч. глава), 2 технический работник.</w:t>
      </w:r>
    </w:p>
    <w:p>
      <w:pPr>
        <w:pStyle w:val="1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На территории поселения зарегистрированы 1 тысяча  502человека , в том числе в с. Усть-Грязнуха- зарегистрировано 977,  проживает 510 , Верхняя Грязнуха – зарегистрировано 508,  проживает-330  , Пановка-186, проживает -133, Зеленый Гай- 58, проживает 4 человека. За 2022 год родилось 15  человек, умерло 20 человек.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Деятельность Администрации в 2022 году осуществлялась в соответствии с Уставом Усть-Грязнухинского сельского поселения </w:t>
      </w:r>
      <w:r>
        <w:rPr>
          <w:rFonts w:cs="Times New Roman" w:ascii="Times New Roman" w:hAnsi="Times New Roman"/>
          <w:sz w:val="24"/>
          <w:szCs w:val="24"/>
        </w:rPr>
        <w:t>на основании решений Думы Усть-Грязнухинского сельского Совета  и в соответствии с 131 Федеральным Законом Российской Федерации «Об общих принципах организации местного самоуправления в РФ», в котором определены вопросы местного значения.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>К вопросам местного значения относится формирования, утверждение, исполнения бюджета поселения и контроль за его исполнением.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на 2022 год был утвержден по доходам в сумме 12 327 165 рублей, фактически исполнено 11 365 352  рублей, в том числе  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собственные доходы поселения при плане - 6 529 580 рублей фактически поступило  -5 567 810 рублей, 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налоговых и не налоговых доходах наибольший удельный вес занимает: 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(НДФЛ) –фактически поступило 1 378 753 рубля.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имущество при плане 46 500 тысяч рублей, фактически поступило 66 тысяч 546 рублей, земельный налог  от физических лиц и организаций (общий) при плане 1 182 000 рублей. Фактически поступило 267 825 рублей. </w:t>
      </w:r>
    </w:p>
    <w:p>
      <w:pPr>
        <w:pStyle w:val="1"/>
        <w:shd w:val="clear" w:color="auto" w:fill="FFFFFF"/>
        <w:spacing w:before="0" w:after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доходы от использования имущества, находящегося в муниципальной собственности (сдача в аренду  нежилого здания котельной, находящей по адресу: с. Верхняя Грязнуха, сдача в аренду пруда) поступило: 152710 рублей. Исполнение 100 % .</w:t>
      </w:r>
    </w:p>
    <w:p>
      <w:pPr>
        <w:pStyle w:val="1"/>
        <w:shd w:val="clear" w:color="auto" w:fill="FFFFFF"/>
        <w:spacing w:before="0" w:after="24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color w:val="00000A"/>
          <w:sz w:val="24"/>
          <w:szCs w:val="24"/>
          <w:lang w:eastAsia="ru-RU"/>
        </w:rPr>
        <w:t>Данные виды доходов являются бюджетообразующими и формируют бюджет поселения по налогам и не налоговым доходам в 2022 в сумме 5 567 810 рублей – исполнения – 85,3 %.</w:t>
      </w:r>
    </w:p>
    <w:p>
      <w:pPr>
        <w:pStyle w:val="NormalWeb"/>
        <w:shd w:val="clear" w:color="auto" w:fill="FFFFFF"/>
        <w:spacing w:beforeAutospacing="0" w:before="280" w:afterAutospacing="0" w:after="24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(дотации, субвенции, межбюджетные трансферты) при плане  5 797 585 рублей, фактически поступило-  5 797 585 рублей.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Безвозмездные доходы на 2022 год</w:t>
      </w:r>
    </w:p>
    <w:p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cs="Times New Roman" w:ascii="Times New Roman" w:hAnsi="Times New Roman"/>
          <w:color w:val="C00000"/>
          <w:sz w:val="24"/>
          <w:szCs w:val="24"/>
        </w:rPr>
      </w:r>
    </w:p>
    <w:tbl>
      <w:tblPr>
        <w:tblW w:w="95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1"/>
        <w:gridCol w:w="1974"/>
        <w:gridCol w:w="2391"/>
        <w:gridCol w:w="2380"/>
      </w:tblGrid>
      <w:tr>
        <w:trPr/>
        <w:tc>
          <w:tcPr>
            <w:tcW w:w="2831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  <w:br/>
              <w:t>(тыс. рублей)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% исполнение</w:t>
            </w:r>
          </w:p>
        </w:tc>
      </w:tr>
      <w:tr>
        <w:trPr/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численности человек)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1915,0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1915,0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Субвенции на осуществление первичного воинского учет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(федеральные деньги)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Субвенции по созданию исполнения функций административных комиссий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(областные)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1125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Межбюджетные трансферты на передаваемые полномочия по водоснабжению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482,0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ind w:right="-167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ind w:left="-128" w:right="-1674" w:firstLine="128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482,0                               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ind w:left="89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ind w:left="891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Ритуальные услуги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(Районные)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межбюджетные трансферты на сбалансированность бюджетов для решения вопросов местного значения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(сбалансированность) районные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3040,7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3040,7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831" w:type="dxa"/>
            <w:tcBorders/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возврата остатков субсидий  и субвенций прошлых лет бюджетными организациями</w:t>
            </w:r>
          </w:p>
        </w:tc>
        <w:tc>
          <w:tcPr>
            <w:tcW w:w="1974" w:type="dxa"/>
            <w:tcBorders/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251,4 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251,4 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итоге исполнение бюджета по доходам 12 327 165 рублей  и по расходам 11 365 352  рублей.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Исполнение расходной части бюджета сельского поселения характеризуется следующими данными: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аппарата управления  составляет 2  901тыс. рублей норматив 3 миллиона 400 тысяч рублей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разделе «Национальная оборона» (воинский учет) запланировано- 93 200 рублей. Израсходовано -93 200 рублей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Пожарная безопасность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Расходы по обеспечению пожарной  безопасности на территории поселения составили 80 000 рублей.  На эти средства осуществлены следующие мероприятия: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недопущение ландшафтных пожаров дважды проводилась противопожарная опашка на территории 4 –х сел и прилегающих территорий –весной и осенью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постоянной готовности находился трактор МТЗ с плугом.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Значительные мероприятия проводились по предупреждению возникновению пожароопасных ситуаций, а также ликвидация пожаров в населенных пунктах и прилегающих территорий.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Огромную благодарность хочу выразить всему коллективу пожарного депо. За их мужество,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за быстрое прибытие, грамотные и профессиональные действия на пожаре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 в Администрацию Усть-Грязнухинского сельского поселения по тел. 7-64-41, или сообщить в ЕДДС по телефону 112, и на телефон 89610895845 или 5-72-01 стационарный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бюджете сельского поселения предусмотрен резервный фонд в сумме 50 тысяч рублей, резервный фонд не использован из-за отсутствия чрезвычайных ситуаций.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Обслуживание и ремонтом нашего сельского водопровода занимается, созданная нами организация МКП ЖКХ Усть-Грязнухинского сельского поселения, директора Мартыненко Кристина Юрьевна,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все возникающие не исправности  по порыву .</w:t>
      </w:r>
    </w:p>
    <w:p>
      <w:pPr>
        <w:pStyle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 xml:space="preserve">выходит из водонапорная башня  в селе Усть-Грязнуха . Было потрачено на ремонт  наруж. водопровода 267 982 руб. 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Объем межбюджетных трансфертов  по водоснабжению  составляет 482000. Эти деньги целевые, они получены из районного бюджета по соглашению части полномочий.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Было приобретено: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Бензопила – 22 960 рублей;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Электрогенератор -</w:t>
      </w:r>
      <w:bookmarkStart w:id="1" w:name="_GoBack"/>
      <w:bookmarkEnd w:id="1"/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50 900 рублей;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Триммер бенз. - 22 300 рублей;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Воздуходувка - 10 310 рублей.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hd w:val="clear" w:color="auto" w:fill="FFFFFF"/>
        <w:rPr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Отремонтирован трактор МТЗ</w:t>
      </w:r>
    </w:p>
    <w:p>
      <w:pPr>
        <w:pStyle w:val="1"/>
        <w:shd w:val="clear" w:color="auto" w:fill="FFFFFF"/>
        <w:spacing w:lineRule="atLeast" w:line="2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Благоустройство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Затраты на благоустройства составляет 1 096 775 рублей.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Также проведены следующие работы: уборка мусора, приобретение хоз. товаров, обрезка деревьев, спиливание деревьев, вывоз веток, окос травы. Администрация приобрела рабочий инвентарь, ремонт детской площадки с. Усть-Грязнуха ремонт крыши сцены и заливка фундамента под памятник.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Из них  на  уличное освещение затрачено </w:t>
      </w:r>
      <w:r>
        <w:rPr>
          <w:rFonts w:eastAsia="Times New Roman" w:cs="Times New Roman" w:ascii="Times New Roman" w:hAnsi="Times New Roman"/>
          <w:sz w:val="24"/>
          <w:szCs w:val="24"/>
        </w:rPr>
        <w:t>– 393 тысячи рублей - это оплата электроэнергии, которая производится за счет бюджета сельского поселения,   ремонт уличного освещения, приобретение эл.товаров.</w:t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Spacing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 xml:space="preserve">Жилищное хозяйство: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жилищному фонду затраты составили – 130 337 рублей. – оплата взносов по кап. ремонту муниципального жилья-128 967 рублей.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ДОРОГИ 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истрачена на дороги 2 675 682 рублей. </w:t>
      </w:r>
    </w:p>
    <w:p>
      <w:pPr>
        <w:pStyle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Производилось планирование дорог грейдером в с. Усть-Грязнуха, с. Верхняя Грязнуха.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Производилась подсыпка улиц: Мира, пер. Новоселов, Молодежная. А так же ремонт асфальтного покрытия на ул. Готшалла, в с. Усть-Грязнуха.</w:t>
      </w:r>
    </w:p>
    <w:p>
      <w:pPr>
        <w:pStyle w:val="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выразить благодарность коллективу работников и мастеру АВ-Техно Приходько А.А. за оказываемую помощь зимой, подсыпку от гололедицы песко-соляной смеси дорог нашего поселения, а так же помощь в ремонте дорог местного значения.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hd w:val="clear" w:color="auto" w:fill="FFFFFF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</w:r>
    </w:p>
    <w:p>
      <w:pPr>
        <w:pStyle w:val="1"/>
        <w:shd w:val="clear" w:color="auto" w:fill="FFFFFF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Молодежная политика –полномочия переданы по Соглашению Камышинскому муниципальному району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«Молодежная политика» и  оздоровление детей за 2022 год расходы составили 49 980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рублей – это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поселения, организация и осуществление мероприятий по работе с детьми и молодежью в поселении. Наша цель- создание условий для вовлечения молодежи в общественную, культурную, спортивную жизнь населения.</w:t>
      </w:r>
    </w:p>
    <w:p>
      <w:pPr>
        <w:pStyle w:val="1"/>
        <w:shd w:val="clear" w:color="auto" w:fill="FFFFFF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  <w:lang w:eastAsia="ru-RU"/>
        </w:rPr>
        <w:t>Культура ,кинематография,средства массовой информации-.</w:t>
      </w:r>
    </w:p>
    <w:p>
      <w:pPr>
        <w:pStyle w:val="1"/>
        <w:shd w:val="clear" w:color="auto" w:fill="FFFFFF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 решение вопросов по организации досуга населения и приобщения жителей поселения к творчеству, культурному развитию  направлена работа клубно-библиотечной системы.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Они плотно сотрудничают со школой, детским садом. </w:t>
      </w:r>
    </w:p>
    <w:p>
      <w:pPr>
        <w:pStyle w:val="1"/>
        <w:shd w:val="clear" w:color="auto" w:fill="FFFF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1"/>
        <w:shd w:val="clear" w:color="auto" w:fill="FFFFFF"/>
        <w:spacing w:before="150" w:after="15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На  Культурно-библиотечную систему в  2022  год было запланировано – 2 497  600 рублей, в том числе на клубную деятельность – 2 015 300 рублей, библиотечную - 482 300 рублей. Физическая культура и спорт в бюджете запланированы расходы на физическую культуру и спорт в сумме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13 960 рублей. </w:t>
      </w:r>
    </w:p>
    <w:p>
      <w:pPr>
        <w:pStyle w:val="1"/>
        <w:shd w:val="clear" w:color="auto" w:fill="FFFFFF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 февраля была отмечена 80 годовщина Сталинградской битвы. Каждому ветерану, труженикам  тыла совместно с Председателем Совета ветеранов Свистуленко Н.Н. на дом в этот день доставляются праздничные поздравление, подарки. В с. Верхняя Грязнуха , Усть-Грязнуха около памятника проводится торжественные митинги, возложение венков.</w:t>
      </w:r>
    </w:p>
    <w:p>
      <w:pPr>
        <w:pStyle w:val="1"/>
        <w:shd w:val="clear" w:color="auto" w:fill="FFFFFF"/>
        <w:spacing w:before="150" w:after="15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 xml:space="preserve"> Бюджет 2023 года заложено 11 545 078 рублей.</w:t>
      </w:r>
    </w:p>
    <w:p>
      <w:pPr>
        <w:pStyle w:val="1"/>
        <w:shd w:val="clear" w:color="auto" w:fill="FFFFFF"/>
        <w:spacing w:before="150" w:after="15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2023 году продолжим  работу по благоустройству территорий поселения, </w:t>
      </w:r>
      <w:r>
        <w:rPr>
          <w:rFonts w:ascii="Times New Roman" w:hAnsi="Times New Roman"/>
          <w:sz w:val="24"/>
          <w:szCs w:val="24"/>
        </w:rPr>
        <w:t>также  большое внимание будем уделять водоснабжению, благоустройство остановок.</w:t>
      </w:r>
    </w:p>
    <w:p>
      <w:pPr>
        <w:pStyle w:val="1"/>
        <w:shd w:val="clear" w:color="auto" w:fill="FFFFFF"/>
        <w:spacing w:before="150" w:after="15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Завершая свой отчет, благодарю всех, кто занимал и занимает активную гражданскую позицию, кто потрудился во благо нашего поселения в 2022 году, кто готов и в дальнейшем вносить свой вклад в развитие и укрепление его. Работа эта нелегкая, но выполнимая. Желаю всем крепкого здоровья и успехов.</w:t>
      </w:r>
    </w:p>
    <w:p>
      <w:pPr>
        <w:pStyle w:val="1"/>
        <w:widowControl/>
        <w:pBdr/>
        <w:shd w:val="clear" w:color="auto" w:fill="FFFFFF"/>
        <w:spacing w:before="150" w:after="150"/>
        <w:ind w:left="0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внимание!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4c048d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Calibri" w:cs="Times New Roman" w:ascii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603a9"/>
    <w:rPr>
      <w:color w:val="0000FF" w:themeColor="hyperlink"/>
      <w:u w:val="single"/>
    </w:rPr>
  </w:style>
  <w:style w:type="paragraph" w:styleId="Style14" w:customStyle="1">
    <w:name w:val="Заголовок"/>
    <w:basedOn w:val="Normal"/>
    <w:next w:val="Style15"/>
    <w:qFormat/>
    <w:rsid w:val="004c048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rsid w:val="004c048d"/>
    <w:pPr>
      <w:spacing w:before="0" w:after="120"/>
    </w:pPr>
    <w:rPr/>
  </w:style>
  <w:style w:type="paragraph" w:styleId="Style16">
    <w:name w:val="List"/>
    <w:basedOn w:val="Style15"/>
    <w:rsid w:val="004c048d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c048d"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4c048d"/>
    <w:pPr>
      <w:widowControl w:val="false"/>
      <w:tabs>
        <w:tab w:val="left" w:pos="708" w:leader="none"/>
      </w:tabs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c048d"/>
    <w:pPr>
      <w:widowControl w:val="false"/>
      <w:tabs>
        <w:tab w:val="left" w:pos="708" w:leader="none"/>
      </w:tabs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b/>
      <w:bCs/>
      <w:color w:val="00000A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71477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Обычный1"/>
    <w:qFormat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1"/>
    <w:qFormat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ume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Application>LibreOffice/5.4.6.2$Windows_x86 LibreOffice_project/4014ce260a04f1026ba855d3b8d91541c224eab8</Application>
  <Pages>5</Pages>
  <Words>1400</Words>
  <Characters>9369</Characters>
  <CharactersWithSpaces>10965</CharactersWithSpaces>
  <Paragraphs>111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2010-08-16T10:02:00Z</dcterms:created>
  <dc:creator>user</dc:creator>
  <dc:description/>
  <dc:language>ru-RU</dc:language>
  <cp:lastModifiedBy/>
  <cp:lastPrinted>2023-03-01T11:04:01Z</cp:lastPrinted>
  <dcterms:modified xsi:type="dcterms:W3CDTF">2023-03-01T11:59:39Z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